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143E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bookmarkStart w:id="3" w:name="_GoBack"/>
      <w:bookmarkEnd w:id="3"/>
      <w:r w:rsidRPr="009621B3">
        <w:rPr>
          <w:rFonts w:cs="Arial"/>
          <w:bCs/>
          <w:sz w:val="22"/>
          <w:szCs w:val="22"/>
        </w:rPr>
        <w:t xml:space="preserve">TDoc </w:t>
      </w:r>
      <w:r w:rsidR="003C7B4F" w:rsidRPr="009621B3">
        <w:rPr>
          <w:rFonts w:cs="Arial"/>
          <w:noProof w:val="0"/>
          <w:sz w:val="22"/>
          <w:szCs w:val="22"/>
        </w:rPr>
        <w:t>S2-21</w:t>
      </w:r>
      <w:r w:rsidR="009621B3" w:rsidRPr="009621B3">
        <w:rPr>
          <w:rFonts w:cs="Arial"/>
          <w:noProof w:val="0"/>
          <w:sz w:val="22"/>
          <w:szCs w:val="22"/>
        </w:rPr>
        <w:t>00818</w:t>
      </w:r>
    </w:p>
    <w:p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691BC9">
        <w:rPr>
          <w:sz w:val="22"/>
          <w:szCs w:val="22"/>
        </w:rPr>
        <w:t>February 2</w:t>
      </w:r>
      <w:r w:rsidR="00B81BCA">
        <w:rPr>
          <w:sz w:val="22"/>
          <w:szCs w:val="22"/>
        </w:rPr>
        <w:t>4</w:t>
      </w:r>
      <w:r w:rsidR="00691BC9">
        <w:rPr>
          <w:sz w:val="22"/>
          <w:szCs w:val="22"/>
        </w:rPr>
        <w:t xml:space="preserve"> – March 9,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B78BC">
        <w:rPr>
          <w:rFonts w:ascii="Arial" w:hAnsi="Arial" w:cs="Arial"/>
          <w:b/>
          <w:sz w:val="22"/>
          <w:szCs w:val="22"/>
        </w:rPr>
        <w:t>Clarification request for eNPN features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R2-2102489/S2-21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00143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Clarification</w:t>
      </w:r>
      <w:r w:rsidR="002B78BC">
        <w:rPr>
          <w:rFonts w:ascii="Arial" w:hAnsi="Arial" w:cs="Arial"/>
          <w:b/>
          <w:bCs/>
          <w:sz w:val="22"/>
          <w:szCs w:val="22"/>
        </w:rPr>
        <w:t xml:space="preserve"> request for eNPN features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7B4F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 w:rsidRPr="002B78BC">
        <w:rPr>
          <w:rFonts w:ascii="Arial" w:hAnsi="Arial" w:cs="Arial"/>
          <w:b/>
          <w:bCs/>
          <w:sz w:val="22"/>
          <w:szCs w:val="22"/>
        </w:rPr>
        <w:t>NG_RAN_PRN_enh-Core</w:t>
      </w:r>
      <w:r w:rsidR="002B78BC">
        <w:rPr>
          <w:rFonts w:ascii="Arial" w:hAnsi="Arial" w:cs="Arial"/>
          <w:b/>
          <w:bCs/>
          <w:sz w:val="22"/>
          <w:szCs w:val="22"/>
        </w:rPr>
        <w:t xml:space="preserve"> / eNPN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RAN3, CT1, SA1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Chia-Lin LAI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Chia-lin dot Lai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04CB6" w:rsidRDefault="001B151A" w:rsidP="001B151A">
      <w:r>
        <w:t xml:space="preserve">SA2 would </w:t>
      </w:r>
      <w:r w:rsidR="00404CB6">
        <w:t>like to thank RAN2 for their LS on clarification request for eNPN features. SA2 would like to provide the following answers to the questions from RAN2.</w:t>
      </w:r>
    </w:p>
    <w:p w:rsidR="00404CB6" w:rsidRPr="003D6AA7" w:rsidRDefault="00404CB6" w:rsidP="00404CB6">
      <w:pPr>
        <w:rPr>
          <w:i/>
          <w:lang w:val="en-US"/>
        </w:rPr>
      </w:pPr>
      <w:r w:rsidRPr="003D6AA7">
        <w:rPr>
          <w:b/>
          <w:i/>
          <w:lang w:val="en-US"/>
        </w:rPr>
        <w:t>Question 1:</w:t>
      </w:r>
      <w:r w:rsidRPr="003D6AA7">
        <w:rPr>
          <w:i/>
          <w:lang w:val="en-US"/>
        </w:rPr>
        <w:t xml:space="preserve"> 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:rsidR="003D6AA7" w:rsidRDefault="00404CB6" w:rsidP="00404CB6">
      <w:pPr>
        <w:rPr>
          <w:b/>
          <w:lang w:val="en-US"/>
        </w:rPr>
      </w:pPr>
      <w:r w:rsidRPr="00404CB6">
        <w:rPr>
          <w:b/>
          <w:lang w:val="en-US"/>
        </w:rPr>
        <w:t>Answer 1:</w:t>
      </w:r>
      <w:r w:rsidR="003D6AA7">
        <w:rPr>
          <w:b/>
          <w:lang w:val="en-US"/>
        </w:rPr>
        <w:t xml:space="preserve"> </w:t>
      </w:r>
      <w:r w:rsidR="003D6AA7" w:rsidRPr="003D6AA7">
        <w:rPr>
          <w:lang w:val="en-US"/>
        </w:rPr>
        <w:t>SA2 would like to clarify the following:</w:t>
      </w:r>
    </w:p>
    <w:p w:rsidR="003D6AA7" w:rsidRDefault="003D6AA7" w:rsidP="003D6AA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10903">
        <w:rPr>
          <w:lang w:val="en-US"/>
        </w:rPr>
        <w:t xml:space="preserve">Uniform support </w:t>
      </w:r>
      <w:r>
        <w:rPr>
          <w:lang w:val="en-US"/>
        </w:rPr>
        <w:t xml:space="preserve">across a </w:t>
      </w:r>
      <w:r w:rsidR="00F10903">
        <w:rPr>
          <w:lang w:val="en-US"/>
        </w:rPr>
        <w:t xml:space="preserve">network or registration area is not assumed </w:t>
      </w:r>
      <w:r>
        <w:rPr>
          <w:lang w:val="en-US"/>
        </w:rPr>
        <w:t>for the following indicators:</w:t>
      </w:r>
    </w:p>
    <w:p w:rsidR="003D6AA7" w:rsidRDefault="003D6AA7" w:rsidP="003D6A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indicator for “access using credentials from a separate entity is supported”</w:t>
      </w:r>
    </w:p>
    <w:p w:rsidR="003D6AA7" w:rsidRDefault="003D6AA7" w:rsidP="003D6A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indicator for “whether the SNPN allows registration attempts from UEs that are not explicitly configured to select the SNPN”</w:t>
      </w:r>
    </w:p>
    <w:p w:rsidR="003D6AA7" w:rsidRDefault="003D6AA7" w:rsidP="003D6AA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Uniform support across a network (SNPN) is assumed for:</w:t>
      </w:r>
    </w:p>
    <w:p w:rsidR="003D6AA7" w:rsidRDefault="003D6AA7" w:rsidP="003D6A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Group IDs supported by this SNPN</w:t>
      </w:r>
    </w:p>
    <w:p w:rsidR="003D6AA7" w:rsidRDefault="003D6AA7" w:rsidP="00404CB6">
      <w:pPr>
        <w:rPr>
          <w:b/>
          <w:i/>
          <w:lang w:val="en-US"/>
        </w:rPr>
      </w:pPr>
    </w:p>
    <w:p w:rsidR="00404CB6" w:rsidRPr="003D6AA7" w:rsidRDefault="00404CB6" w:rsidP="00404CB6">
      <w:pPr>
        <w:rPr>
          <w:i/>
          <w:lang w:val="en-US"/>
        </w:rPr>
      </w:pPr>
      <w:r w:rsidRPr="003D6AA7">
        <w:rPr>
          <w:b/>
          <w:i/>
          <w:lang w:val="en-US"/>
        </w:rPr>
        <w:t>Question 2:</w:t>
      </w:r>
      <w:r w:rsidRPr="003D6AA7">
        <w:rPr>
          <w:i/>
          <w:lang w:val="en-US"/>
        </w:rPr>
        <w:t xml:space="preserve"> Shall Group IDs be broadcasted per SNPN or per cell?</w:t>
      </w:r>
    </w:p>
    <w:p w:rsidR="003D6AA7" w:rsidRDefault="00F10903" w:rsidP="003D6AA7">
      <w:pPr>
        <w:rPr>
          <w:lang w:val="en-US"/>
        </w:rPr>
      </w:pPr>
      <w:r w:rsidRPr="00404CB6">
        <w:rPr>
          <w:b/>
          <w:lang w:val="en-US"/>
        </w:rPr>
        <w:t xml:space="preserve">Answer </w:t>
      </w:r>
      <w:r>
        <w:rPr>
          <w:b/>
          <w:lang w:val="en-US"/>
        </w:rPr>
        <w:t>2</w:t>
      </w:r>
      <w:r w:rsidRPr="00404CB6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3D6AA7" w:rsidRPr="003D6AA7">
        <w:rPr>
          <w:lang w:val="en-US"/>
        </w:rPr>
        <w:t xml:space="preserve">Group IDs are expected to be broadcast per SNPN using the SNPN ID encoding format, in accordance with the following agreements in TR </w:t>
      </w:r>
      <w:r w:rsidRPr="003D6AA7">
        <w:rPr>
          <w:lang w:val="en-US"/>
        </w:rPr>
        <w:t>23.700-07</w:t>
      </w:r>
      <w:r w:rsidR="00636CE5" w:rsidRPr="003D6AA7">
        <w:rPr>
          <w:lang w:val="en-US"/>
        </w:rPr>
        <w:t xml:space="preserve"> v1.2.0</w:t>
      </w:r>
      <w:r w:rsidR="003D6AA7" w:rsidRPr="003D6AA7">
        <w:rPr>
          <w:lang w:val="en-US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5249BE" w:rsidRPr="005249BE" w:rsidTr="005249BE">
        <w:tc>
          <w:tcPr>
            <w:tcW w:w="9406" w:type="dxa"/>
            <w:shd w:val="clear" w:color="auto" w:fill="F2F2F2"/>
          </w:tcPr>
          <w:p w:rsidR="003D6AA7" w:rsidRPr="005249BE" w:rsidRDefault="003D6AA7" w:rsidP="003D6AA7">
            <w:pPr>
              <w:pStyle w:val="B1"/>
              <w:rPr>
                <w:rFonts w:eastAsia="新細明體"/>
                <w:lang w:val="en-US"/>
              </w:rPr>
            </w:pPr>
            <w:r w:rsidRPr="005249BE">
              <w:rPr>
                <w:rFonts w:eastAsia="新細明體"/>
                <w:lang w:val="en-US"/>
              </w:rPr>
              <w:t>-</w:t>
            </w:r>
            <w:r w:rsidRPr="005249BE">
              <w:rPr>
                <w:rFonts w:eastAsia="新細明體"/>
                <w:lang w:val="en-US"/>
              </w:rPr>
              <w:tab/>
              <w:t xml:space="preserve">Group ID as a specific case of SNPN ID reusing SNPN ID encoding in </w:t>
            </w:r>
            <w:r>
              <w:rPr>
                <w:lang w:eastAsia="ko-KR"/>
              </w:rPr>
              <w:t>TS 23.003 [15]</w:t>
            </w:r>
            <w:r w:rsidRPr="005249BE">
              <w:rPr>
                <w:rFonts w:eastAsia="新細明體"/>
                <w:lang w:val="en-US"/>
              </w:rPr>
              <w:t>, where</w:t>
            </w:r>
          </w:p>
          <w:p w:rsidR="003D6AA7" w:rsidRPr="005249BE" w:rsidRDefault="003D6AA7" w:rsidP="003D6AA7">
            <w:pPr>
              <w:pStyle w:val="B2"/>
              <w:rPr>
                <w:lang w:val="en-US"/>
              </w:rPr>
            </w:pPr>
            <w:r w:rsidRPr="005249BE">
              <w:rPr>
                <w:lang w:val="en-US"/>
              </w:rPr>
              <w:t>-</w:t>
            </w:r>
            <w:r w:rsidRPr="005249BE">
              <w:rPr>
                <w:lang w:val="en-US"/>
              </w:rPr>
              <w:tab/>
            </w:r>
            <w:r>
              <w:t>Assignment mode 1 indicat</w:t>
            </w:r>
            <w:r w:rsidRPr="005249BE">
              <w:rPr>
                <w:lang w:val="en-US"/>
              </w:rPr>
              <w:t>es</w:t>
            </w:r>
            <w:r>
              <w:t xml:space="preserve"> self-managed </w:t>
            </w:r>
            <w:r w:rsidRPr="005249BE">
              <w:rPr>
                <w:lang w:val="en-US"/>
              </w:rPr>
              <w:t xml:space="preserve">Home SP Group ID values as the </w:t>
            </w:r>
            <w:r>
              <w:t>NID Value</w:t>
            </w:r>
            <w:r w:rsidRPr="005249BE">
              <w:rPr>
                <w:lang w:val="en-US"/>
              </w:rPr>
              <w:t xml:space="preserve"> is</w:t>
            </w:r>
            <w:r>
              <w:t xml:space="preserve"> </w:t>
            </w:r>
            <w:r w:rsidRPr="005249BE">
              <w:rPr>
                <w:lang w:val="en-US"/>
              </w:rPr>
              <w:t>chosen independently at deployment time.</w:t>
            </w:r>
          </w:p>
          <w:p w:rsidR="003D6AA7" w:rsidRPr="005249BE" w:rsidRDefault="003D6AA7" w:rsidP="003D6AA7">
            <w:pPr>
              <w:pStyle w:val="B2"/>
              <w:rPr>
                <w:lang w:val="en-US"/>
              </w:rPr>
            </w:pPr>
            <w:r w:rsidRPr="005249BE">
              <w:rPr>
                <w:lang w:val="en-US"/>
              </w:rPr>
              <w:lastRenderedPageBreak/>
              <w:t>-</w:t>
            </w:r>
            <w:r w:rsidRPr="005249BE">
              <w:rPr>
                <w:lang w:val="en-US"/>
              </w:rPr>
              <w:tab/>
              <w:t xml:space="preserve">Assignment mode 0 indicates Home SP Group ID is globally unique as the NID Value is globally unique. One possibility for ensuring uniqueness is to use IANA PEN as in </w:t>
            </w:r>
            <w:r>
              <w:rPr>
                <w:lang w:eastAsia="ko-KR"/>
              </w:rPr>
              <w:t>TS 23.003 [15]</w:t>
            </w:r>
            <w:r w:rsidRPr="005249BE">
              <w:rPr>
                <w:lang w:val="en-US"/>
              </w:rPr>
              <w:t>.</w:t>
            </w:r>
          </w:p>
          <w:p w:rsidR="003D6AA7" w:rsidRPr="00D65A9C" w:rsidRDefault="003D6AA7" w:rsidP="003D6AA7">
            <w:pPr>
              <w:pStyle w:val="B1"/>
            </w:pPr>
            <w:r>
              <w:t>-</w:t>
            </w:r>
            <w:r>
              <w:tab/>
            </w:r>
            <w:r w:rsidRPr="00D65A9C">
              <w:t>SIB</w:t>
            </w:r>
            <w:r>
              <w:t xml:space="preserve"> will be enhanced as follows</w:t>
            </w:r>
            <w:r w:rsidRPr="001851F2">
              <w:t>, for SNPN only:</w:t>
            </w:r>
          </w:p>
          <w:p w:rsidR="003D6AA7" w:rsidRPr="00D65A9C" w:rsidRDefault="003D6AA7" w:rsidP="003D6AA7">
            <w:pPr>
              <w:pStyle w:val="B2"/>
            </w:pPr>
            <w:r>
              <w:t>-</w:t>
            </w:r>
            <w:r>
              <w:tab/>
            </w:r>
            <w:r w:rsidRPr="00D65A9C">
              <w:t xml:space="preserve">Indication that </w:t>
            </w:r>
            <w:r>
              <w:t>"</w:t>
            </w:r>
            <w:r w:rsidRPr="00D65A9C">
              <w:t xml:space="preserve">access using credentials </w:t>
            </w:r>
            <w:r>
              <w:t xml:space="preserve">from a separate entity </w:t>
            </w:r>
            <w:r w:rsidRPr="00D65A9C">
              <w:t>is supported</w:t>
            </w:r>
            <w:r>
              <w:t>"</w:t>
            </w:r>
          </w:p>
          <w:p w:rsidR="003D6AA7" w:rsidRDefault="003D6AA7" w:rsidP="003D6AA7">
            <w:pPr>
              <w:pStyle w:val="B2"/>
            </w:pPr>
            <w:r>
              <w:t>-</w:t>
            </w:r>
            <w:r>
              <w:tab/>
              <w:t>Optionally, s</w:t>
            </w:r>
            <w:r w:rsidRPr="00D65A9C">
              <w:t>upported Group IDs (GIDs)</w:t>
            </w:r>
          </w:p>
          <w:p w:rsidR="003D6AA7" w:rsidRPr="005249BE" w:rsidRDefault="003D6AA7" w:rsidP="005249BE">
            <w:pPr>
              <w:pStyle w:val="B2"/>
              <w:ind w:left="800"/>
              <w:rPr>
                <w:lang w:val="en-US"/>
              </w:rPr>
            </w:pPr>
            <w:r>
              <w:t>-</w:t>
            </w:r>
            <w:r>
              <w:tab/>
              <w:t>Optionally, an indication</w:t>
            </w:r>
            <w:r w:rsidRPr="00254C3D">
              <w:t xml:space="preserve"> </w:t>
            </w:r>
            <w:r w:rsidRPr="005249BE">
              <w:rPr>
                <w:lang w:val="en-US"/>
              </w:rPr>
              <w:t>whether the SNPN allows registration attempts from UEs that are not explicitly configured to select the SNPN</w:t>
            </w:r>
          </w:p>
        </w:tc>
      </w:tr>
    </w:tbl>
    <w:p w:rsidR="003D6AA7" w:rsidRDefault="003D6AA7" w:rsidP="003D6AA7">
      <w:pPr>
        <w:rPr>
          <w:lang w:val="en-US"/>
        </w:rPr>
      </w:pPr>
    </w:p>
    <w:p w:rsidR="00404CB6" w:rsidRPr="00D75858" w:rsidRDefault="00404CB6" w:rsidP="00404CB6">
      <w:pPr>
        <w:rPr>
          <w:i/>
          <w:lang w:val="en-US"/>
        </w:rPr>
      </w:pPr>
      <w:r w:rsidRPr="00D75858">
        <w:rPr>
          <w:b/>
          <w:i/>
          <w:lang w:val="en-US"/>
        </w:rPr>
        <w:t>Question 3:</w:t>
      </w:r>
      <w:r w:rsidRPr="00D75858">
        <w:rPr>
          <w:i/>
          <w:lang w:val="en-US"/>
        </w:rPr>
        <w:t xml:space="preserve"> 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:rsidR="00404CB6" w:rsidRPr="00904EFF" w:rsidRDefault="003D6AA7" w:rsidP="00404CB6">
      <w:pPr>
        <w:rPr>
          <w:lang w:val="en-US"/>
        </w:rPr>
      </w:pPr>
      <w:r w:rsidRPr="003D6AA7">
        <w:rPr>
          <w:b/>
          <w:lang w:val="en-US"/>
        </w:rPr>
        <w:t xml:space="preserve">Answer 3: </w:t>
      </w:r>
      <w:r w:rsidR="00904EFF">
        <w:rPr>
          <w:lang w:val="en-US"/>
        </w:rPr>
        <w:t xml:space="preserve">An Onboarding Network (e.g. O-SNPN) is defined from a UE standpoint on a cell-basis i.e. </w:t>
      </w:r>
      <w:r w:rsidR="00D75858">
        <w:rPr>
          <w:lang w:val="en-US"/>
        </w:rPr>
        <w:t xml:space="preserve">a UE only considers cells that do broadcast the “onboarding enabled” indication for onboarding purpose. </w:t>
      </w:r>
    </w:p>
    <w:p w:rsidR="00D75858" w:rsidRDefault="00D75858" w:rsidP="00404CB6">
      <w:pPr>
        <w:rPr>
          <w:b/>
          <w:i/>
          <w:lang w:val="en-US"/>
        </w:rPr>
      </w:pPr>
    </w:p>
    <w:p w:rsidR="00404CB6" w:rsidRPr="00D75858" w:rsidRDefault="00404CB6" w:rsidP="00404CB6">
      <w:pPr>
        <w:rPr>
          <w:i/>
          <w:lang w:val="en-US"/>
        </w:rPr>
      </w:pPr>
      <w:r w:rsidRPr="00D75858">
        <w:rPr>
          <w:b/>
          <w:i/>
          <w:lang w:val="en-US"/>
        </w:rPr>
        <w:t>Question 4:</w:t>
      </w:r>
      <w:r w:rsidRPr="00D75858">
        <w:rPr>
          <w:i/>
          <w:lang w:val="en-US"/>
        </w:rPr>
        <w:t xml:space="preserve"> Is the support of eCall over IMS assumed to be enabled in SNPN cells?</w:t>
      </w:r>
    </w:p>
    <w:p w:rsidR="00D75858" w:rsidRPr="00404CB6" w:rsidRDefault="00D75858" w:rsidP="00404CB6">
      <w:pPr>
        <w:rPr>
          <w:lang w:val="en-US"/>
        </w:rPr>
      </w:pPr>
      <w:r w:rsidRPr="00D75858">
        <w:rPr>
          <w:b/>
          <w:lang w:val="en-US"/>
        </w:rPr>
        <w:t>Answer 4:</w:t>
      </w:r>
      <w:r>
        <w:rPr>
          <w:lang w:val="en-US"/>
        </w:rPr>
        <w:t xml:space="preserve"> </w:t>
      </w:r>
      <w:r w:rsidR="0032279E">
        <w:rPr>
          <w:lang w:val="en-US"/>
        </w:rPr>
        <w:t xml:space="preserve">eCall regulations </w:t>
      </w:r>
      <w:r w:rsidR="009638AD">
        <w:rPr>
          <w:lang w:val="en-US"/>
        </w:rPr>
        <w:t xml:space="preserve">(112-based) </w:t>
      </w:r>
      <w:r w:rsidR="0032279E">
        <w:rPr>
          <w:lang w:val="en-US"/>
        </w:rPr>
        <w:t xml:space="preserve">apply to </w:t>
      </w:r>
      <w:r w:rsidR="0032279E" w:rsidRPr="0032279E">
        <w:rPr>
          <w:i/>
          <w:lang w:val="en-US"/>
        </w:rPr>
        <w:t>public</w:t>
      </w:r>
      <w:r w:rsidR="0032279E">
        <w:rPr>
          <w:lang w:val="en-US"/>
        </w:rPr>
        <w:t xml:space="preserve"> mobile wireless communication networks.</w:t>
      </w:r>
      <w:r w:rsidR="00790CD8">
        <w:rPr>
          <w:lang w:val="en-US"/>
        </w:rPr>
        <w:t xml:space="preserve"> </w:t>
      </w:r>
      <w:r w:rsidR="00B65A67">
        <w:rPr>
          <w:lang w:val="en-US"/>
        </w:rPr>
        <w:t xml:space="preserve">There is no eCall regulation (112-based) for </w:t>
      </w:r>
      <w:r w:rsidR="00B65A67" w:rsidRPr="00B65A67">
        <w:rPr>
          <w:i/>
          <w:lang w:val="en-US"/>
        </w:rPr>
        <w:t xml:space="preserve">non-public </w:t>
      </w:r>
      <w:r w:rsidR="00B65A67">
        <w:rPr>
          <w:lang w:val="en-US"/>
        </w:rPr>
        <w:t>mobile wireless communication networks.</w:t>
      </w:r>
    </w:p>
    <w:p w:rsidR="00D75858" w:rsidRDefault="00D75858" w:rsidP="00404CB6">
      <w:pPr>
        <w:rPr>
          <w:b/>
          <w:i/>
          <w:lang w:val="en-US"/>
        </w:rPr>
      </w:pPr>
    </w:p>
    <w:p w:rsidR="00404CB6" w:rsidRPr="00D75858" w:rsidRDefault="00404CB6" w:rsidP="00404CB6">
      <w:pPr>
        <w:rPr>
          <w:i/>
          <w:lang w:val="en-US"/>
        </w:rPr>
      </w:pPr>
      <w:r w:rsidRPr="00D75858">
        <w:rPr>
          <w:b/>
          <w:i/>
          <w:lang w:val="en-US"/>
        </w:rPr>
        <w:t>Question 5:</w:t>
      </w:r>
      <w:r w:rsidRPr="00D75858">
        <w:rPr>
          <w:i/>
          <w:lang w:val="en-US"/>
        </w:rPr>
        <w:t xml:space="preserve"> Is the broadcasting of ETWS/CMAS notifications in an SNPN cell enabled in Rel-17?</w:t>
      </w:r>
    </w:p>
    <w:p w:rsidR="00D75858" w:rsidRPr="00404CB6" w:rsidRDefault="00D75858" w:rsidP="00404CB6">
      <w:pPr>
        <w:rPr>
          <w:lang w:val="en-US"/>
        </w:rPr>
      </w:pPr>
      <w:r w:rsidRPr="00D75858">
        <w:rPr>
          <w:b/>
          <w:lang w:val="en-US"/>
        </w:rPr>
        <w:t>Answer 5:</w:t>
      </w:r>
      <w:r>
        <w:rPr>
          <w:lang w:val="en-US"/>
        </w:rPr>
        <w:t xml:space="preserve"> </w:t>
      </w:r>
      <w:r w:rsidR="00790CD8">
        <w:rPr>
          <w:lang w:val="en-US"/>
        </w:rPr>
        <w:t>This question should be answered by SA1</w:t>
      </w:r>
      <w:r>
        <w:rPr>
          <w:lang w:val="en-US"/>
        </w:rPr>
        <w:t>.</w:t>
      </w:r>
      <w:r w:rsidR="00951C72">
        <w:rPr>
          <w:lang w:val="en-US"/>
        </w:rPr>
        <w:t xml:space="preserve"> There is no technical limitation foreseen by SA2 should ETWS/CMAS need to be supported for SNPN</w:t>
      </w:r>
      <w:r w:rsidR="00691BC9">
        <w:rPr>
          <w:lang w:val="en-US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 to take the above answers into account.</w:t>
      </w:r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 </w:t>
      </w:r>
    </w:p>
    <w:p w:rsidR="00D75858" w:rsidRDefault="00D75858" w:rsidP="00D75858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lang w:val="en-US"/>
        </w:rPr>
        <w:t>SA2 asks SA1 answer Question 5 above.</w:t>
      </w:r>
    </w:p>
    <w:p w:rsidR="00D75858" w:rsidRPr="00D75858" w:rsidRDefault="00D75858">
      <w:pPr>
        <w:spacing w:after="120"/>
        <w:ind w:left="993" w:hanging="993"/>
        <w:rPr>
          <w:color w:val="0070C0"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DB72AE" w:rsidP="002F1940">
      <w:bookmarkStart w:id="11" w:name="OLE_LINK55"/>
      <w:bookmarkStart w:id="12" w:name="OLE_LINK56"/>
      <w:bookmarkStart w:id="13" w:name="OLE_LINK53"/>
      <w:bookmarkStart w:id="14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1"/>
      <w:bookmarkEnd w:id="12"/>
      <w:r>
        <w:t>Electronic</w:t>
      </w:r>
    </w:p>
    <w:p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FF0" w:rsidRDefault="006F3FF0">
      <w:pPr>
        <w:spacing w:after="0"/>
      </w:pPr>
      <w:r>
        <w:separator/>
      </w:r>
    </w:p>
  </w:endnote>
  <w:endnote w:type="continuationSeparator" w:id="0">
    <w:p w:rsidR="006F3FF0" w:rsidRDefault="006F3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FF0" w:rsidRDefault="006F3FF0">
      <w:pPr>
        <w:spacing w:after="0"/>
      </w:pPr>
      <w:r>
        <w:separator/>
      </w:r>
    </w:p>
  </w:footnote>
  <w:footnote w:type="continuationSeparator" w:id="0">
    <w:p w:rsidR="006F3FF0" w:rsidRDefault="006F3F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B151A"/>
    <w:rsid w:val="002B78BC"/>
    <w:rsid w:val="002F1940"/>
    <w:rsid w:val="0032279E"/>
    <w:rsid w:val="00383545"/>
    <w:rsid w:val="003C7B4F"/>
    <w:rsid w:val="003D6AA7"/>
    <w:rsid w:val="00404CB6"/>
    <w:rsid w:val="00433500"/>
    <w:rsid w:val="00433F71"/>
    <w:rsid w:val="00440D43"/>
    <w:rsid w:val="004E3939"/>
    <w:rsid w:val="005249BE"/>
    <w:rsid w:val="00636CE5"/>
    <w:rsid w:val="00691BC9"/>
    <w:rsid w:val="006D6388"/>
    <w:rsid w:val="006F3FF0"/>
    <w:rsid w:val="00790CD8"/>
    <w:rsid w:val="007F4F92"/>
    <w:rsid w:val="008D772F"/>
    <w:rsid w:val="00904EFF"/>
    <w:rsid w:val="00951C72"/>
    <w:rsid w:val="009621B3"/>
    <w:rsid w:val="009638AD"/>
    <w:rsid w:val="0099764C"/>
    <w:rsid w:val="00AA1963"/>
    <w:rsid w:val="00B65A67"/>
    <w:rsid w:val="00B81BCA"/>
    <w:rsid w:val="00B97703"/>
    <w:rsid w:val="00C1774A"/>
    <w:rsid w:val="00CF6087"/>
    <w:rsid w:val="00D75858"/>
    <w:rsid w:val="00DB72AE"/>
    <w:rsid w:val="00F1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1B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621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62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21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21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21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21B3"/>
    <w:pPr>
      <w:outlineLvl w:val="5"/>
    </w:pPr>
  </w:style>
  <w:style w:type="paragraph" w:styleId="Heading7">
    <w:name w:val="heading 7"/>
    <w:basedOn w:val="H6"/>
    <w:next w:val="Normal"/>
    <w:qFormat/>
    <w:rsid w:val="009621B3"/>
    <w:pPr>
      <w:outlineLvl w:val="6"/>
    </w:pPr>
  </w:style>
  <w:style w:type="paragraph" w:styleId="Heading8">
    <w:name w:val="heading 8"/>
    <w:basedOn w:val="Heading1"/>
    <w:next w:val="Normal"/>
    <w:qFormat/>
    <w:rsid w:val="009621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21B3"/>
    <w:pPr>
      <w:outlineLvl w:val="8"/>
    </w:pPr>
  </w:style>
  <w:style w:type="character" w:default="1" w:styleId="DefaultParagraphFont">
    <w:name w:val="Default Paragraph Font"/>
    <w:semiHidden/>
    <w:rsid w:val="009621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21B3"/>
  </w:style>
  <w:style w:type="paragraph" w:styleId="Header">
    <w:name w:val="header"/>
    <w:link w:val="HeaderChar"/>
    <w:rsid w:val="009621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621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621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621B3"/>
    <w:pPr>
      <w:spacing w:before="180"/>
      <w:ind w:left="2693" w:hanging="2693"/>
    </w:pPr>
    <w:rPr>
      <w:b/>
    </w:rPr>
  </w:style>
  <w:style w:type="paragraph" w:styleId="TOC1">
    <w:name w:val="toc 1"/>
    <w:semiHidden/>
    <w:rsid w:val="009621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21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621B3"/>
    <w:pPr>
      <w:ind w:left="1701" w:hanging="1701"/>
    </w:pPr>
  </w:style>
  <w:style w:type="paragraph" w:styleId="TOC4">
    <w:name w:val="toc 4"/>
    <w:basedOn w:val="TOC3"/>
    <w:semiHidden/>
    <w:rsid w:val="009621B3"/>
    <w:pPr>
      <w:ind w:left="1418" w:hanging="1418"/>
    </w:pPr>
  </w:style>
  <w:style w:type="paragraph" w:styleId="TOC3">
    <w:name w:val="toc 3"/>
    <w:basedOn w:val="TOC2"/>
    <w:semiHidden/>
    <w:rsid w:val="009621B3"/>
    <w:pPr>
      <w:ind w:left="1134" w:hanging="1134"/>
    </w:pPr>
  </w:style>
  <w:style w:type="paragraph" w:styleId="TOC2">
    <w:name w:val="toc 2"/>
    <w:basedOn w:val="TOC1"/>
    <w:semiHidden/>
    <w:rsid w:val="009621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21B3"/>
    <w:pPr>
      <w:ind w:left="284"/>
    </w:pPr>
  </w:style>
  <w:style w:type="paragraph" w:styleId="Index1">
    <w:name w:val="index 1"/>
    <w:basedOn w:val="Normal"/>
    <w:semiHidden/>
    <w:rsid w:val="009621B3"/>
    <w:pPr>
      <w:keepLines/>
      <w:spacing w:after="0"/>
    </w:pPr>
  </w:style>
  <w:style w:type="paragraph" w:customStyle="1" w:styleId="ZH">
    <w:name w:val="ZH"/>
    <w:rsid w:val="009621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21B3"/>
    <w:pPr>
      <w:outlineLvl w:val="9"/>
    </w:pPr>
  </w:style>
  <w:style w:type="paragraph" w:styleId="ListNumber2">
    <w:name w:val="List Number 2"/>
    <w:basedOn w:val="ListNumber"/>
    <w:semiHidden/>
    <w:rsid w:val="009621B3"/>
    <w:pPr>
      <w:ind w:left="851"/>
    </w:pPr>
  </w:style>
  <w:style w:type="character" w:styleId="FootnoteReference">
    <w:name w:val="footnote reference"/>
    <w:semiHidden/>
    <w:rsid w:val="009621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21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621B3"/>
    <w:rPr>
      <w:b/>
    </w:rPr>
  </w:style>
  <w:style w:type="paragraph" w:customStyle="1" w:styleId="TAC">
    <w:name w:val="TAC"/>
    <w:basedOn w:val="TAL"/>
    <w:rsid w:val="009621B3"/>
    <w:pPr>
      <w:jc w:val="center"/>
    </w:pPr>
  </w:style>
  <w:style w:type="paragraph" w:customStyle="1" w:styleId="TF">
    <w:name w:val="TF"/>
    <w:basedOn w:val="TH"/>
    <w:rsid w:val="009621B3"/>
    <w:pPr>
      <w:keepNext w:val="0"/>
      <w:spacing w:before="0" w:after="240"/>
    </w:pPr>
  </w:style>
  <w:style w:type="paragraph" w:customStyle="1" w:styleId="NO">
    <w:name w:val="NO"/>
    <w:basedOn w:val="Normal"/>
    <w:rsid w:val="009621B3"/>
    <w:pPr>
      <w:keepLines/>
      <w:ind w:left="1135" w:hanging="851"/>
    </w:pPr>
  </w:style>
  <w:style w:type="paragraph" w:styleId="TOC9">
    <w:name w:val="toc 9"/>
    <w:basedOn w:val="TOC8"/>
    <w:semiHidden/>
    <w:rsid w:val="009621B3"/>
    <w:pPr>
      <w:ind w:left="1418" w:hanging="1418"/>
    </w:pPr>
  </w:style>
  <w:style w:type="paragraph" w:customStyle="1" w:styleId="EX">
    <w:name w:val="EX"/>
    <w:basedOn w:val="Normal"/>
    <w:rsid w:val="009621B3"/>
    <w:pPr>
      <w:keepLines/>
      <w:ind w:left="1702" w:hanging="1418"/>
    </w:pPr>
  </w:style>
  <w:style w:type="paragraph" w:customStyle="1" w:styleId="FP">
    <w:name w:val="FP"/>
    <w:basedOn w:val="Normal"/>
    <w:rsid w:val="009621B3"/>
    <w:pPr>
      <w:spacing w:after="0"/>
    </w:pPr>
  </w:style>
  <w:style w:type="paragraph" w:customStyle="1" w:styleId="LD">
    <w:name w:val="LD"/>
    <w:rsid w:val="009621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21B3"/>
    <w:pPr>
      <w:spacing w:after="0"/>
    </w:pPr>
  </w:style>
  <w:style w:type="paragraph" w:customStyle="1" w:styleId="EW">
    <w:name w:val="EW"/>
    <w:basedOn w:val="EX"/>
    <w:rsid w:val="009621B3"/>
    <w:pPr>
      <w:spacing w:after="0"/>
    </w:pPr>
  </w:style>
  <w:style w:type="paragraph" w:styleId="TOC6">
    <w:name w:val="toc 6"/>
    <w:basedOn w:val="TOC5"/>
    <w:next w:val="Normal"/>
    <w:semiHidden/>
    <w:rsid w:val="009621B3"/>
    <w:pPr>
      <w:ind w:left="1985" w:hanging="1985"/>
    </w:pPr>
  </w:style>
  <w:style w:type="paragraph" w:styleId="TOC7">
    <w:name w:val="toc 7"/>
    <w:basedOn w:val="TOC6"/>
    <w:next w:val="Normal"/>
    <w:semiHidden/>
    <w:rsid w:val="009621B3"/>
    <w:pPr>
      <w:ind w:left="2268" w:hanging="2268"/>
    </w:pPr>
  </w:style>
  <w:style w:type="paragraph" w:styleId="ListBullet2">
    <w:name w:val="List Bullet 2"/>
    <w:basedOn w:val="ListBullet"/>
    <w:semiHidden/>
    <w:rsid w:val="009621B3"/>
    <w:pPr>
      <w:ind w:left="851"/>
    </w:pPr>
  </w:style>
  <w:style w:type="paragraph" w:styleId="ListBullet3">
    <w:name w:val="List Bullet 3"/>
    <w:basedOn w:val="ListBullet2"/>
    <w:semiHidden/>
    <w:rsid w:val="009621B3"/>
    <w:pPr>
      <w:ind w:left="1135"/>
    </w:pPr>
  </w:style>
  <w:style w:type="paragraph" w:styleId="ListNumber">
    <w:name w:val="List Number"/>
    <w:basedOn w:val="List"/>
    <w:semiHidden/>
    <w:rsid w:val="009621B3"/>
  </w:style>
  <w:style w:type="paragraph" w:customStyle="1" w:styleId="EQ">
    <w:name w:val="EQ"/>
    <w:basedOn w:val="Normal"/>
    <w:next w:val="Normal"/>
    <w:rsid w:val="009621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2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2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2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21B3"/>
    <w:pPr>
      <w:jc w:val="right"/>
    </w:pPr>
  </w:style>
  <w:style w:type="paragraph" w:customStyle="1" w:styleId="H6">
    <w:name w:val="H6"/>
    <w:basedOn w:val="Heading5"/>
    <w:next w:val="Normal"/>
    <w:rsid w:val="009621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21B3"/>
    <w:pPr>
      <w:ind w:left="851" w:hanging="851"/>
    </w:pPr>
  </w:style>
  <w:style w:type="paragraph" w:customStyle="1" w:styleId="TAL">
    <w:name w:val="TAL"/>
    <w:basedOn w:val="Normal"/>
    <w:rsid w:val="009621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2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21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21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21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21B3"/>
    <w:pPr>
      <w:framePr w:wrap="notBeside" w:y="16161"/>
    </w:pPr>
  </w:style>
  <w:style w:type="character" w:customStyle="1" w:styleId="ZGSM">
    <w:name w:val="ZGSM"/>
    <w:rsid w:val="009621B3"/>
  </w:style>
  <w:style w:type="paragraph" w:styleId="List2">
    <w:name w:val="List 2"/>
    <w:basedOn w:val="List"/>
    <w:semiHidden/>
    <w:rsid w:val="009621B3"/>
    <w:pPr>
      <w:ind w:left="851"/>
    </w:pPr>
  </w:style>
  <w:style w:type="paragraph" w:customStyle="1" w:styleId="ZG">
    <w:name w:val="ZG"/>
    <w:rsid w:val="009621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621B3"/>
    <w:pPr>
      <w:ind w:left="1135"/>
    </w:pPr>
  </w:style>
  <w:style w:type="paragraph" w:styleId="List4">
    <w:name w:val="List 4"/>
    <w:basedOn w:val="List3"/>
    <w:semiHidden/>
    <w:rsid w:val="009621B3"/>
    <w:pPr>
      <w:ind w:left="1418"/>
    </w:pPr>
  </w:style>
  <w:style w:type="paragraph" w:styleId="List5">
    <w:name w:val="List 5"/>
    <w:basedOn w:val="List4"/>
    <w:semiHidden/>
    <w:rsid w:val="009621B3"/>
    <w:pPr>
      <w:ind w:left="1702"/>
    </w:pPr>
  </w:style>
  <w:style w:type="paragraph" w:customStyle="1" w:styleId="EditorsNote">
    <w:name w:val="Editor's Note"/>
    <w:basedOn w:val="NO"/>
    <w:rsid w:val="009621B3"/>
    <w:rPr>
      <w:color w:val="FF0000"/>
    </w:rPr>
  </w:style>
  <w:style w:type="paragraph" w:styleId="List">
    <w:name w:val="List"/>
    <w:basedOn w:val="Normal"/>
    <w:semiHidden/>
    <w:rsid w:val="009621B3"/>
    <w:pPr>
      <w:ind w:left="568" w:hanging="284"/>
    </w:pPr>
  </w:style>
  <w:style w:type="paragraph" w:styleId="ListBullet">
    <w:name w:val="List Bullet"/>
    <w:basedOn w:val="List"/>
    <w:semiHidden/>
    <w:rsid w:val="009621B3"/>
  </w:style>
  <w:style w:type="paragraph" w:styleId="ListBullet4">
    <w:name w:val="List Bullet 4"/>
    <w:basedOn w:val="ListBullet3"/>
    <w:semiHidden/>
    <w:rsid w:val="009621B3"/>
    <w:pPr>
      <w:ind w:left="1418"/>
    </w:pPr>
  </w:style>
  <w:style w:type="paragraph" w:styleId="ListBullet5">
    <w:name w:val="List Bullet 5"/>
    <w:basedOn w:val="ListBullet4"/>
    <w:semiHidden/>
    <w:rsid w:val="009621B3"/>
    <w:pPr>
      <w:ind w:left="1702"/>
    </w:pPr>
  </w:style>
  <w:style w:type="paragraph" w:customStyle="1" w:styleId="B2">
    <w:name w:val="B2"/>
    <w:basedOn w:val="List2"/>
    <w:link w:val="B2Char"/>
    <w:rsid w:val="009621B3"/>
  </w:style>
  <w:style w:type="paragraph" w:customStyle="1" w:styleId="B3">
    <w:name w:val="B3"/>
    <w:basedOn w:val="List3"/>
    <w:rsid w:val="009621B3"/>
  </w:style>
  <w:style w:type="paragraph" w:customStyle="1" w:styleId="B4">
    <w:name w:val="B4"/>
    <w:basedOn w:val="List4"/>
    <w:rsid w:val="009621B3"/>
  </w:style>
  <w:style w:type="paragraph" w:customStyle="1" w:styleId="B5">
    <w:name w:val="B5"/>
    <w:basedOn w:val="List5"/>
    <w:rsid w:val="009621B3"/>
  </w:style>
  <w:style w:type="paragraph" w:customStyle="1" w:styleId="ZTD">
    <w:name w:val="ZTD"/>
    <w:basedOn w:val="ZB"/>
    <w:rsid w:val="009621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2021-02-18T12:35:00Z</dcterms:created>
  <dcterms:modified xsi:type="dcterms:W3CDTF">2021-02-18T12:35:00Z</dcterms:modified>
</cp:coreProperties>
</file>